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7509D" w14:textId="5D8956B3" w:rsidR="008036FD" w:rsidRPr="00B25A22" w:rsidRDefault="008036FD" w:rsidP="008036FD">
      <w:pPr>
        <w:spacing w:before="0" w:beforeAutospacing="0" w:after="0" w:line="360" w:lineRule="auto"/>
        <w:jc w:val="center"/>
        <w:outlineLvl w:val="1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ANTIGEN-ANTIBODY DOCKING USING HADDOCK2.4 SERVER</w:t>
      </w:r>
    </w:p>
    <w:p w14:paraId="5B5B195B" w14:textId="77777777" w:rsidR="008036FD" w:rsidRPr="00B25A22" w:rsidRDefault="008036FD" w:rsidP="008036FD">
      <w:pPr>
        <w:spacing w:before="0" w:beforeAutospacing="0" w:after="0" w:line="360" w:lineRule="auto"/>
        <w:jc w:val="center"/>
        <w:outlineLvl w:val="1"/>
        <w:rPr>
          <w:rFonts w:eastAsia="Times New Roman" w:cs="Times New Roman"/>
          <w:b/>
          <w:bCs/>
          <w:color w:val="auto"/>
        </w:rPr>
      </w:pPr>
    </w:p>
    <w:p w14:paraId="6781C7E4" w14:textId="087DE217" w:rsidR="008036FD" w:rsidRPr="00B25A22" w:rsidRDefault="008036FD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Section 1: Pre-processing of the Protein Structures</w:t>
      </w:r>
    </w:p>
    <w:p w14:paraId="78DE5EB9" w14:textId="15CEABDE" w:rsidR="008036FD" w:rsidRPr="00B25A22" w:rsidRDefault="008036FD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Before running the HADDOCK 2.4 webserver, protein structures must be cleaned and prepared using software like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PyMOL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and UCSF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ChimeraX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>.</w:t>
      </w:r>
    </w:p>
    <w:p w14:paraId="542E786C" w14:textId="77777777" w:rsidR="00B25A22" w:rsidRPr="00B25A22" w:rsidRDefault="00B25A22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</w:p>
    <w:p w14:paraId="05E4EACD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1.1 Sequence Trimming &amp; Cleanup (</w:t>
      </w:r>
      <w:proofErr w:type="spellStart"/>
      <w:r w:rsidRPr="00B25A22">
        <w:rPr>
          <w:rFonts w:eastAsia="Times New Roman" w:cs="Times New Roman"/>
          <w:b/>
          <w:bCs/>
          <w:color w:val="auto"/>
        </w:rPr>
        <w:t>PyMOL</w:t>
      </w:r>
      <w:proofErr w:type="spellEnd"/>
      <w:r w:rsidRPr="00B25A22">
        <w:rPr>
          <w:rFonts w:eastAsia="Times New Roman" w:cs="Times New Roman"/>
          <w:b/>
          <w:bCs/>
          <w:color w:val="auto"/>
        </w:rPr>
        <w:t xml:space="preserve"> / UCSF </w:t>
      </w:r>
      <w:proofErr w:type="spellStart"/>
      <w:r w:rsidRPr="00B25A22">
        <w:rPr>
          <w:rFonts w:eastAsia="Times New Roman" w:cs="Times New Roman"/>
          <w:b/>
          <w:bCs/>
          <w:color w:val="auto"/>
        </w:rPr>
        <w:t>ChimeraX</w:t>
      </w:r>
      <w:proofErr w:type="spellEnd"/>
      <w:r w:rsidRPr="00B25A22">
        <w:rPr>
          <w:rFonts w:eastAsia="Times New Roman" w:cs="Times New Roman"/>
          <w:b/>
          <w:bCs/>
          <w:color w:val="auto"/>
        </w:rPr>
        <w:t>)</w:t>
      </w:r>
    </w:p>
    <w:p w14:paraId="3A107D3C" w14:textId="5892A48F" w:rsidR="008036FD" w:rsidRPr="00B25A22" w:rsidRDefault="008036FD" w:rsidP="008036FD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Load Structures: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Open</w:t>
      </w:r>
      <w:r w:rsidR="00834C5C">
        <w:rPr>
          <w:rFonts w:eastAsia="Times New Roman" w:cs="Times New Roman"/>
          <w:color w:val="auto"/>
          <w:bdr w:val="none" w:sz="0" w:space="0" w:color="auto" w:frame="1"/>
        </w:rPr>
        <w:t xml:space="preserve"> 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target antigen and antibody PDB files in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PyMOL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or UCSF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ChimeraX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>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25A13A92" w14:textId="77777777" w:rsidR="008036FD" w:rsidRPr="00B25A22" w:rsidRDefault="008036FD" w:rsidP="008036FD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Sequence Trimming: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Trim the structures to only include the necessary sequences (e.g., specific Receptor Binding Domain segments).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3550A95D" w14:textId="77777777" w:rsidR="008036FD" w:rsidRPr="00B25A22" w:rsidRDefault="008036FD" w:rsidP="008036FD">
      <w:pPr>
        <w:numPr>
          <w:ilvl w:val="1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 xml:space="preserve">In </w:t>
      </w:r>
      <w:proofErr w:type="spellStart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PyMOL</w:t>
      </w:r>
      <w:proofErr w:type="spellEnd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:</w:t>
      </w:r>
      <w:r w:rsidRPr="00B25A22">
        <w:rPr>
          <w:rFonts w:eastAsia="Times New Roman" w:cs="Times New Roman"/>
          <w:color w:val="auto"/>
        </w:rPr>
        <w:t xml:space="preserve"> Select unwanted flanking residues using the sequence viewer (Display &gt; Sequence), then run: remove sel.</w:t>
      </w:r>
    </w:p>
    <w:p w14:paraId="727E22B5" w14:textId="77777777" w:rsidR="008036FD" w:rsidRPr="00B25A22" w:rsidRDefault="008036FD" w:rsidP="008036FD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Solvent and Heteroatom Removal: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Remove crystallographic water molecules, which can form artificial hydrogen bonds or block the interface.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6C06765B" w14:textId="77777777" w:rsidR="008036FD" w:rsidRPr="00B25A22" w:rsidRDefault="008036FD" w:rsidP="008036FD">
      <w:pPr>
        <w:numPr>
          <w:ilvl w:val="1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 xml:space="preserve">In </w:t>
      </w:r>
      <w:proofErr w:type="spellStart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PyMOL</w:t>
      </w:r>
      <w:proofErr w:type="spellEnd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:</w:t>
      </w:r>
      <w:r w:rsidRPr="00B25A22">
        <w:rPr>
          <w:rFonts w:eastAsia="Times New Roman" w:cs="Times New Roman"/>
          <w:color w:val="auto"/>
        </w:rPr>
        <w:t xml:space="preserve"> Run remove solvent or action panel A &gt; remove waters.</w:t>
      </w:r>
    </w:p>
    <w:p w14:paraId="4EF783F5" w14:textId="77777777" w:rsidR="008036FD" w:rsidRPr="00B25A22" w:rsidRDefault="008036FD" w:rsidP="008036FD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Remove Non-Standard Entities: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Remove non-standard amino acids (like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selenomethionine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>), heteroatoms, buffers (</w:t>
      </w:r>
      <m:oMath>
        <m:sSup>
          <m:s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pPr>
          <m:e>
            <m:r>
              <m:rPr>
                <m:nor/>
              </m:rPr>
              <w:rPr>
                <w:rFonts w:eastAsia="Times New Roman" w:cs="Times New Roman"/>
                <w:color w:val="auto"/>
              </w:rPr>
              <m:t>Cl</m:t>
            </m:r>
          </m:e>
          <m:sup>
            <m:r>
              <w:rPr>
                <w:rFonts w:ascii="Cambria Math" w:eastAsia="Times New Roman" w:hAnsi="Cambria Math" w:cs="Times New Roman"/>
                <w:color w:val="auto"/>
              </w:rPr>
              <m:t>-</m:t>
            </m:r>
          </m:sup>
        </m:sSup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, </w:t>
      </w:r>
      <m:oMath>
        <m:sSubSup>
          <m:sSub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SupPr>
          <m:e>
            <m:r>
              <m:rPr>
                <m:nor/>
              </m:rPr>
              <w:rPr>
                <w:rFonts w:eastAsia="Times New Roman" w:cs="Times New Roman"/>
                <w:color w:val="auto"/>
              </w:rPr>
              <m:t>SO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4</m:t>
            </m:r>
          </m:sub>
          <m:sup>
            <m:r>
              <w:rPr>
                <w:rFonts w:ascii="Cambria Math" w:eastAsia="Times New Roman" w:hAnsi="Cambria Math" w:cs="Times New Roman"/>
                <w:color w:val="auto"/>
              </w:rPr>
              <m:t>2-</m:t>
            </m:r>
          </m:sup>
        </m:sSubSup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, glycerol), NAG sugars, and ligands to avoid steric hindrance. Essential cofactors (like </w:t>
      </w:r>
      <m:oMath>
        <m:sSup>
          <m:s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pPr>
          <m:e>
            <m:r>
              <m:rPr>
                <m:nor/>
              </m:rPr>
              <w:rPr>
                <w:rFonts w:eastAsia="Times New Roman" w:cs="Times New Roman"/>
                <w:color w:val="auto"/>
              </w:rPr>
              <m:t>Zn</m:t>
            </m:r>
          </m:e>
          <m:sup>
            <m:r>
              <w:rPr>
                <w:rFonts w:ascii="Cambria Math" w:eastAsia="Times New Roman" w:hAnsi="Cambria Math" w:cs="Times New Roman"/>
                <w:color w:val="auto"/>
              </w:rPr>
              <m:t>2+</m:t>
            </m:r>
          </m:sup>
        </m:sSup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and </w:t>
      </w:r>
      <m:oMath>
        <m:sSup>
          <m:sSupPr>
            <m:ctrlPr>
              <w:rPr>
                <w:rFonts w:ascii="Cambria Math" w:eastAsia="Times New Roman" w:hAnsi="Cambria Math" w:cs="Times New Roman"/>
                <w:color w:val="auto"/>
              </w:rPr>
            </m:ctrlPr>
          </m:sSupPr>
          <m:e>
            <m:r>
              <m:rPr>
                <m:nor/>
              </m:rPr>
              <w:rPr>
                <w:rFonts w:eastAsia="Times New Roman" w:cs="Times New Roman"/>
                <w:color w:val="auto"/>
              </w:rPr>
              <m:t>Mg</m:t>
            </m:r>
          </m:e>
          <m:sup>
            <m:r>
              <w:rPr>
                <w:rFonts w:ascii="Cambria Math" w:eastAsia="Times New Roman" w:hAnsi="Cambria Math" w:cs="Times New Roman"/>
                <w:color w:val="auto"/>
              </w:rPr>
              <m:t>2+</m:t>
            </m:r>
          </m:sup>
        </m:sSup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) should be retained.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088E346F" w14:textId="77777777" w:rsidR="008036FD" w:rsidRPr="00B25A22" w:rsidRDefault="008036FD" w:rsidP="008036FD">
      <w:pPr>
        <w:numPr>
          <w:ilvl w:val="0"/>
          <w:numId w:val="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Rotamer Libraries: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Handle alternate side chain locations or multiple conformations using the Dunbrack rotamer library. In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PyMOL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>, use the wizard mutagenesis tool to fix or select the primary high-occupancy conformation.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15C49C0D" w14:textId="77777777" w:rsidR="00B25A22" w:rsidRPr="00B25A22" w:rsidRDefault="00B25A22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527E456A" w14:textId="34A414F4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1.2 Renumbering and Merging (</w:t>
      </w:r>
      <w:proofErr w:type="spellStart"/>
      <w:r w:rsidRPr="00B25A22">
        <w:rPr>
          <w:rFonts w:eastAsia="Times New Roman" w:cs="Times New Roman"/>
          <w:b/>
          <w:bCs/>
          <w:color w:val="auto"/>
        </w:rPr>
        <w:t>PyMOL</w:t>
      </w:r>
      <w:proofErr w:type="spellEnd"/>
      <w:r w:rsidRPr="00B25A22">
        <w:rPr>
          <w:rFonts w:eastAsia="Times New Roman" w:cs="Times New Roman"/>
          <w:b/>
          <w:bCs/>
          <w:color w:val="auto"/>
        </w:rPr>
        <w:t>)</w:t>
      </w:r>
    </w:p>
    <w:p w14:paraId="5139CB19" w14:textId="77777777" w:rsidR="008036FD" w:rsidRPr="00B25A22" w:rsidRDefault="008036FD" w:rsidP="008036FD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Renumbering: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Merge the two chains of the antibody (Heavy and Light) and renumber them starting from 1001, while leaving the antigen numbering unchanged for later sequence alignment.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313164E3" w14:textId="77777777" w:rsidR="008036FD" w:rsidRPr="00B25A22" w:rsidRDefault="008036FD" w:rsidP="008036FD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 xml:space="preserve">Execute in </w:t>
      </w:r>
      <w:proofErr w:type="spellStart"/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PyMOL</w:t>
      </w:r>
      <w:proofErr w:type="spellEnd"/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 xml:space="preserve"> Command Line:</w:t>
      </w:r>
    </w:p>
    <w:p w14:paraId="4EF81408" w14:textId="77777777" w:rsidR="008036FD" w:rsidRPr="00B25A22" w:rsidRDefault="008036FD" w:rsidP="00B25A22">
      <w:pPr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</w:rPr>
      </w:pPr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Plaintext</w:t>
      </w:r>
    </w:p>
    <w:p w14:paraId="1E256042" w14:textId="77777777" w:rsidR="008036FD" w:rsidRPr="00B25A22" w:rsidRDefault="008036FD" w:rsidP="00B25A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  <w:bdr w:val="none" w:sz="0" w:space="0" w:color="auto" w:frame="1"/>
        </w:rPr>
      </w:pPr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# Assuming chains H and L are the antibody</w:t>
      </w:r>
    </w:p>
    <w:p w14:paraId="1AEA864A" w14:textId="77777777" w:rsidR="008036FD" w:rsidRPr="00B25A22" w:rsidRDefault="008036FD" w:rsidP="00B25A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  <w:bdr w:val="none" w:sz="0" w:space="0" w:color="auto" w:frame="1"/>
        </w:rPr>
      </w:pPr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 xml:space="preserve">alter chain H or chain L, </w:t>
      </w:r>
      <w:proofErr w:type="spellStart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resi</w:t>
      </w:r>
      <w:proofErr w:type="spellEnd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 xml:space="preserve"> = str(int(</w:t>
      </w:r>
      <w:proofErr w:type="spellStart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resi</w:t>
      </w:r>
      <w:proofErr w:type="spellEnd"/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) + 1000)</w:t>
      </w:r>
    </w:p>
    <w:p w14:paraId="322E9535" w14:textId="77777777" w:rsidR="008036FD" w:rsidRPr="00B25A22" w:rsidRDefault="008036FD" w:rsidP="00B25A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  <w:bdr w:val="none" w:sz="0" w:space="0" w:color="auto" w:frame="1"/>
        </w:rPr>
      </w:pPr>
      <w:r w:rsidRPr="00B25A22">
        <w:rPr>
          <w:rFonts w:eastAsia="Times New Roman" w:cs="Times New Roman"/>
          <w:i/>
          <w:iCs/>
          <w:color w:val="auto"/>
          <w:bdr w:val="none" w:sz="0" w:space="0" w:color="auto" w:frame="1"/>
        </w:rPr>
        <w:t>sort</w:t>
      </w:r>
    </w:p>
    <w:p w14:paraId="401EE14E" w14:textId="0A9E765E" w:rsidR="008036FD" w:rsidRDefault="008036FD" w:rsidP="008036FD">
      <w:pPr>
        <w:numPr>
          <w:ilvl w:val="0"/>
          <w:numId w:val="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lastRenderedPageBreak/>
        <w:t>Join both processed antibody chains into a single object, and export</w:t>
      </w:r>
      <w:r w:rsidR="00834C5C">
        <w:rPr>
          <w:rFonts w:eastAsia="Times New Roman" w:cs="Times New Roman"/>
          <w:color w:val="auto"/>
        </w:rPr>
        <w:t xml:space="preserve"> </w:t>
      </w:r>
      <w:r w:rsidRPr="00B25A22">
        <w:rPr>
          <w:rFonts w:eastAsia="Times New Roman" w:cs="Times New Roman"/>
          <w:color w:val="auto"/>
        </w:rPr>
        <w:t>cleaned files as antigen_ready.pdb and antibody_ready.pdb.</w:t>
      </w:r>
    </w:p>
    <w:p w14:paraId="015383CA" w14:textId="77777777" w:rsidR="00B25A22" w:rsidRPr="00B25A22" w:rsidRDefault="00B25A22" w:rsidP="00B25A22">
      <w:pPr>
        <w:spacing w:before="0" w:beforeAutospacing="0" w:after="0" w:line="360" w:lineRule="auto"/>
        <w:ind w:left="720"/>
        <w:jc w:val="both"/>
        <w:rPr>
          <w:rFonts w:eastAsia="Times New Roman" w:cs="Times New Roman"/>
          <w:color w:val="auto"/>
        </w:rPr>
      </w:pPr>
    </w:p>
    <w:p w14:paraId="7BB63903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Section 2: Restraint Generation</w:t>
      </w:r>
    </w:p>
    <w:p w14:paraId="18B61377" w14:textId="0E842B57" w:rsidR="008036FD" w:rsidRDefault="008036FD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HADDOCK relies on Ambiguous Interaction Restraints (AIRs) to guide the docking process toward biologically plausible poses.</w:t>
      </w:r>
    </w:p>
    <w:p w14:paraId="4A6136E7" w14:textId="77777777" w:rsidR="00B25A22" w:rsidRPr="00B25A22" w:rsidRDefault="00B25A22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</w:p>
    <w:p w14:paraId="1C157AF3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2.1 Residue Classification</w:t>
      </w:r>
    </w:p>
    <w:p w14:paraId="7F1A7106" w14:textId="77777777" w:rsidR="008036FD" w:rsidRPr="00B25A22" w:rsidRDefault="008036FD" w:rsidP="008036FD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Paratope Prediction (Antibody):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Use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ParaSurf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to predict active paratope residues based on surface topology, electrostatics, and hydrophobicity, focusing particularly on the complementarity-determining regions (CDRs).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346EEE96" w14:textId="77777777" w:rsidR="008036FD" w:rsidRPr="00B25A22" w:rsidRDefault="008036FD" w:rsidP="008036FD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Epitope Selection (Antigen):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Define active epitopes by selecting solvent-exposed residues located within a </w:t>
      </w:r>
      <m:oMath>
        <m:r>
          <w:rPr>
            <w:rFonts w:ascii="Cambria Math" w:eastAsia="Times New Roman" w:hAnsi="Cambria Math" w:cs="Times New Roman"/>
            <w:color w:val="auto"/>
          </w:rPr>
          <m:t>3</m:t>
        </m:r>
        <m:r>
          <m:rPr>
            <m:nor/>
          </m:rPr>
          <w:rPr>
            <w:rFonts w:eastAsia="Times New Roman" w:cs="Times New Roman"/>
            <w:color w:val="auto"/>
          </w:rPr>
          <m:t> AA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proximity of the antibody paratope in structural templates.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1EC3D0A1" w14:textId="77777777" w:rsidR="008036FD" w:rsidRPr="00B25A22" w:rsidRDefault="008036FD" w:rsidP="008036FD">
      <w:pPr>
        <w:numPr>
          <w:ilvl w:val="0"/>
          <w:numId w:val="1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Passive Designation: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Neighboring solvent-exposed residues are designated as "passive" to allow conformational flexibility.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592765B0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2.2 Restraint Generation</w:t>
      </w:r>
    </w:p>
    <w:p w14:paraId="5774E96D" w14:textId="77777777" w:rsidR="008036FD" w:rsidRPr="00B25A22" w:rsidRDefault="008036FD" w:rsidP="008036FD">
      <w:pPr>
        <w:numPr>
          <w:ilvl w:val="0"/>
          <w:numId w:val="1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>Input these active and passive selections into the HADDOCK web utility.</w:t>
      </w:r>
    </w:p>
    <w:p w14:paraId="3B2BE84B" w14:textId="77777777" w:rsidR="008036FD" w:rsidRPr="00B25A22" w:rsidRDefault="008036FD" w:rsidP="008036FD">
      <w:pPr>
        <w:numPr>
          <w:ilvl w:val="0"/>
          <w:numId w:val="1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Translate these active and passive selections into CNS-compliant restraint files (.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tbl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format), which specify upper and lower bounds for interatomic distances.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548EFCB4" w14:textId="77777777" w:rsidR="00B25A22" w:rsidRDefault="00B25A22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</w:p>
    <w:p w14:paraId="1E7B5C17" w14:textId="7F7F5FE6" w:rsidR="008036FD" w:rsidRPr="00B25A22" w:rsidRDefault="008036FD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Section 3: HADDOCK 2.4 Multistage Docking Protocol</w:t>
      </w:r>
    </w:p>
    <w:p w14:paraId="7D88A5D5" w14:textId="77777777" w:rsidR="008036FD" w:rsidRPr="00B25A22" w:rsidRDefault="008036FD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The docking simulation occurs across five highly structured stages: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5D204A38" w14:textId="77777777" w:rsidR="00B25A22" w:rsidRDefault="00B25A22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7E4EE784" w14:textId="0C8172DD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Stage 1: Topology Generation and Complex Initialization</w:t>
      </w:r>
    </w:p>
    <w:p w14:paraId="3414BEFF" w14:textId="77777777" w:rsidR="008036FD" w:rsidRPr="00B25A22" w:rsidRDefault="008036FD" w:rsidP="008036FD">
      <w:pPr>
        <w:numPr>
          <w:ilvl w:val="0"/>
          <w:numId w:val="1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HADDOCK creates CNS-compliant topologies for each molecule separately, automatically detecting chain breaks, disulfide bonds, and protonation states. External servers like PRODRG or ATB are used for small molecule ligands.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1AF002D9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Stage 2: Rigid-Body Energy Minimization (it0)</w:t>
      </w:r>
    </w:p>
    <w:p w14:paraId="04A9F9E1" w14:textId="77777777" w:rsidR="008036FD" w:rsidRPr="00B25A22" w:rsidRDefault="008036FD" w:rsidP="008036FD">
      <w:pPr>
        <w:numPr>
          <w:ilvl w:val="0"/>
          <w:numId w:val="1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Molecules are separated by at least </w:t>
      </w:r>
      <m:oMath>
        <m:r>
          <w:rPr>
            <w:rFonts w:ascii="Cambria Math" w:eastAsia="Times New Roman" w:hAnsi="Cambria Math" w:cs="Times New Roman"/>
            <w:color w:val="auto"/>
          </w:rPr>
          <m:t>25</m:t>
        </m:r>
        <m:r>
          <m:rPr>
            <m:nor/>
          </m:rPr>
          <w:rPr>
            <w:rFonts w:eastAsia="Times New Roman" w:cs="Times New Roman"/>
            <w:color w:val="auto"/>
          </w:rPr>
          <m:t> AA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and randomly rotated to remove bias. HADDOCK generates 1,000 trial models that undergo rotational and translational minimization.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07E3E550" w14:textId="77777777" w:rsidR="008036FD" w:rsidRPr="00B25A22" w:rsidRDefault="008036FD" w:rsidP="008036FD">
      <w:pPr>
        <w:numPr>
          <w:ilvl w:val="0"/>
          <w:numId w:val="13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lastRenderedPageBreak/>
        <w:t>Van der Waals forces are heavily down-weighted (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vdw</m:t>
            </m:r>
          </m:sub>
        </m:sSub>
        <m:r>
          <w:rPr>
            <w:rFonts w:ascii="Cambria Math" w:eastAsia="Times New Roman" w:hAnsi="Cambria Math" w:cs="Times New Roman"/>
            <w:color w:val="auto"/>
          </w:rPr>
          <m:t>=0.01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) to allow conformational exploration despite minor steric clashes, while electrostatic steering forces are weighted fully (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elec</m:t>
            </m:r>
          </m:sub>
        </m:sSub>
        <m:r>
          <w:rPr>
            <w:rFonts w:ascii="Cambria Math" w:eastAsia="Times New Roman" w:hAnsi="Cambria Math" w:cs="Times New Roman"/>
            <w:color w:val="auto"/>
          </w:rPr>
          <m:t>=1.0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).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4CE0E6DC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Stage 3: Semi-Flexible Simulated Annealing (it1)</w:t>
      </w:r>
    </w:p>
    <w:p w14:paraId="6B05539F" w14:textId="77777777" w:rsidR="008036FD" w:rsidRPr="00B25A22" w:rsidRDefault="008036FD" w:rsidP="008036FD">
      <w:pPr>
        <w:numPr>
          <w:ilvl w:val="0"/>
          <w:numId w:val="1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The top 200 models proceed to this stage, which approximates the "induced fit" binding mechanism.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4665E276" w14:textId="77777777" w:rsidR="008036FD" w:rsidRPr="00B25A22" w:rsidRDefault="008036FD" w:rsidP="008036FD">
      <w:pPr>
        <w:numPr>
          <w:ilvl w:val="0"/>
          <w:numId w:val="14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Side chains and backbone atoms within a </w:t>
      </w:r>
      <m:oMath>
        <m:r>
          <w:rPr>
            <w:rFonts w:ascii="Cambria Math" w:eastAsia="Times New Roman" w:hAnsi="Cambria Math" w:cs="Times New Roman"/>
            <w:color w:val="auto"/>
          </w:rPr>
          <m:t>5</m:t>
        </m:r>
        <m:r>
          <m:rPr>
            <m:nor/>
          </m:rPr>
          <w:rPr>
            <w:rFonts w:eastAsia="Times New Roman" w:cs="Times New Roman"/>
            <w:color w:val="auto"/>
          </w:rPr>
          <m:t> AA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cutoff at the interface are allowed to flex and undergo torsional refinement. Van der Waals penalties are increased to full weight (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vdw</m:t>
            </m:r>
          </m:sub>
        </m:sSub>
        <m:r>
          <w:rPr>
            <w:rFonts w:ascii="Cambria Math" w:eastAsia="Times New Roman" w:hAnsi="Cambria Math" w:cs="Times New Roman"/>
            <w:color w:val="auto"/>
          </w:rPr>
          <m:t>=1.0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).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4DADB1B1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Stage 4: Explicit Solvent Refinement (</w:t>
      </w:r>
      <w:proofErr w:type="spellStart"/>
      <w:r w:rsidRPr="00B25A22">
        <w:rPr>
          <w:rFonts w:eastAsia="Times New Roman" w:cs="Times New Roman"/>
          <w:b/>
          <w:bCs/>
          <w:color w:val="auto"/>
        </w:rPr>
        <w:t>itw</w:t>
      </w:r>
      <w:proofErr w:type="spellEnd"/>
      <w:r w:rsidRPr="00B25A22">
        <w:rPr>
          <w:rFonts w:eastAsia="Times New Roman" w:cs="Times New Roman"/>
          <w:b/>
          <w:bCs/>
          <w:color w:val="auto"/>
        </w:rPr>
        <w:t>)</w:t>
      </w:r>
    </w:p>
    <w:p w14:paraId="1B86B190" w14:textId="77777777" w:rsidR="008036FD" w:rsidRPr="00B25A22" w:rsidRDefault="008036FD" w:rsidP="008036FD">
      <w:pPr>
        <w:numPr>
          <w:ilvl w:val="0"/>
          <w:numId w:val="1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The 200 refined models are computationally immersed in an </w:t>
      </w:r>
      <m:oMath>
        <m:r>
          <w:rPr>
            <w:rFonts w:ascii="Cambria Math" w:eastAsia="Times New Roman" w:hAnsi="Cambria Math" w:cs="Times New Roman"/>
            <w:color w:val="auto"/>
          </w:rPr>
          <m:t>8</m:t>
        </m:r>
        <m:r>
          <m:rPr>
            <m:nor/>
          </m:rPr>
          <w:rPr>
            <w:rFonts w:eastAsia="Times New Roman" w:cs="Times New Roman"/>
            <w:color w:val="auto"/>
          </w:rPr>
          <m:t> AA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shell of TIP3P water molecules and undergo a short molecular dynamics simulation at 300 K.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1956A81F" w14:textId="77777777" w:rsidR="008036FD" w:rsidRPr="00B25A22" w:rsidRDefault="008036FD" w:rsidP="008036FD">
      <w:pPr>
        <w:numPr>
          <w:ilvl w:val="0"/>
          <w:numId w:val="15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Electrostatic weights are lowered (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elec</m:t>
            </m:r>
          </m:sub>
        </m:sSub>
        <m:r>
          <w:rPr>
            <w:rFonts w:ascii="Cambria Math" w:eastAsia="Times New Roman" w:hAnsi="Cambria Math" w:cs="Times New Roman"/>
            <w:color w:val="auto"/>
          </w:rPr>
          <m:t>=0.2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) to mimic the dielectric screening effect of bulk water, while desolvation and van der Waals interactions remain at full weight.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2C7C79B1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Stage 5: HADDOCK Post-Processing and Clustering</w:t>
      </w:r>
    </w:p>
    <w:p w14:paraId="3E553944" w14:textId="77777777" w:rsidR="008036FD" w:rsidRPr="00B25A22" w:rsidRDefault="008036FD" w:rsidP="008036FD">
      <w:pPr>
        <w:numPr>
          <w:ilvl w:val="0"/>
          <w:numId w:val="1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Once the explicit solvent refinement is complete, HADDOCK clusters the final structures to identify the most probable binding modes using Fraction of Common Contacts (FCC) clustering with a 0.6 cutoff, meaning the models must share at least 60% of their residue–residue contacts.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6682C7DB" w14:textId="77777777" w:rsidR="008036FD" w:rsidRPr="00B25A22" w:rsidRDefault="008036FD" w:rsidP="008036FD">
      <w:pPr>
        <w:numPr>
          <w:ilvl w:val="0"/>
          <w:numId w:val="1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Ranking &amp; Validation: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These clusters are ranked by the average HADDOCK score of their top four models, and statistical significance is assessed using a Z-score.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423A1AD0" w14:textId="77777777" w:rsidR="008036FD" w:rsidRPr="00B25A22" w:rsidRDefault="008036FD" w:rsidP="008036FD">
      <w:pPr>
        <w:numPr>
          <w:ilvl w:val="0"/>
          <w:numId w:val="16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The reliability of the generated complexes is then validated against CAPRI (Critical Assessment of Predicted Interactions) criteria, which classify the models based on their ligand RMSD (l-RMSD) to ensure the conformational sampling captured biologically native-like poses.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40D2EC1D" w14:textId="77777777" w:rsidR="00B25A22" w:rsidRDefault="00B25A22">
      <w:pPr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br w:type="page"/>
      </w:r>
    </w:p>
    <w:p w14:paraId="4A2379E0" w14:textId="38C0358B" w:rsidR="008036FD" w:rsidRPr="00B25A22" w:rsidRDefault="008036FD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lastRenderedPageBreak/>
        <w:t>Section 4: Thermodynamic and Geometric Post-Processing (PRODIGY)</w:t>
      </w:r>
    </w:p>
    <w:p w14:paraId="4E0757D2" w14:textId="77777777" w:rsidR="008036FD" w:rsidRPr="00B25A22" w:rsidRDefault="008036FD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Beyond structural prediction, the complexes undergo rigorous thermodynamic evaluation to quantify their actual binding strength.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0AC0FE24" w14:textId="77777777" w:rsidR="008036FD" w:rsidRPr="00B25A22" w:rsidRDefault="008036FD" w:rsidP="008036FD">
      <w:pPr>
        <w:numPr>
          <w:ilvl w:val="0"/>
          <w:numId w:val="1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Affinity Prediction via PRODIGY Server: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Submit the best-performing models to the PRODIGY server to calculate the binding free energy (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auto"/>
          </w:rPr>
          <m:t>Δ</m:t>
        </m:r>
        <m:r>
          <w:rPr>
            <w:rFonts w:ascii="Cambria Math" w:eastAsia="Times New Roman" w:hAnsi="Cambria Math" w:cs="Times New Roman"/>
            <w:color w:val="auto"/>
          </w:rPr>
          <m:t>G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) and dissociation constant (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d</m:t>
            </m:r>
          </m:sub>
        </m:sSub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). This is done using the Model 6 predictive equation, which counts Interatomic Contacts (ICs) within a </w:t>
      </w:r>
      <m:oMath>
        <m:r>
          <w:rPr>
            <w:rFonts w:ascii="Cambria Math" w:eastAsia="Times New Roman" w:hAnsi="Cambria Math" w:cs="Times New Roman"/>
            <w:color w:val="auto"/>
          </w:rPr>
          <m:t>5.5</m:t>
        </m:r>
        <m:r>
          <m:rPr>
            <m:nor/>
          </m:rPr>
          <w:rPr>
            <w:rFonts w:eastAsia="Times New Roman" w:cs="Times New Roman"/>
            <w:color w:val="auto"/>
          </w:rPr>
          <m:t> AA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threshold across six specific physicochemical categories (such as Charged-Charged, Polar-Polar, etc.) while also factoring in the percentage of apolar and charged residues on the Non-Interacting Surface (NIS).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28E25F4E" w14:textId="77777777" w:rsidR="008036FD" w:rsidRPr="00B25A22" w:rsidRDefault="008036FD" w:rsidP="008036FD">
      <w:pPr>
        <w:numPr>
          <w:ilvl w:val="0"/>
          <w:numId w:val="1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Interface Geometry: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The Buried Surface Area (BSA) is calculated using the Lee and Richards algorithm (using a </w:t>
      </w:r>
      <m:oMath>
        <m:r>
          <w:rPr>
            <w:rFonts w:ascii="Cambria Math" w:eastAsia="Times New Roman" w:hAnsi="Cambria Math" w:cs="Times New Roman"/>
            <w:color w:val="auto"/>
          </w:rPr>
          <m:t>1.4</m:t>
        </m:r>
        <m:r>
          <m:rPr>
            <m:nor/>
          </m:rPr>
          <w:rPr>
            <w:rFonts w:eastAsia="Times New Roman" w:cs="Times New Roman"/>
            <w:color w:val="auto"/>
          </w:rPr>
          <m:t> AA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water probe) to measure the extent of surface burial upon complex formation. Additionally, Link Density (LD) is calculated to measure how tightly interconnected the interfacial network is.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0F6EFDF8" w14:textId="4E21358F" w:rsidR="008036FD" w:rsidRPr="00B25A22" w:rsidRDefault="008036FD" w:rsidP="008036FD">
      <w:pPr>
        <w:numPr>
          <w:ilvl w:val="0"/>
          <w:numId w:val="17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Data Compilation:</w:t>
      </w:r>
      <w:r w:rsidRPr="00B25A22">
        <w:rPr>
          <w:rFonts w:eastAsia="Times New Roman" w:cs="Times New Roman"/>
          <w:color w:val="auto"/>
        </w:rPr>
        <w:t xml:space="preserve"> Download the resulting tabular data from PRODIGY and copy the 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auto"/>
          </w:rPr>
          <m:t>Δ</m:t>
        </m:r>
        <m:r>
          <w:rPr>
            <w:rFonts w:ascii="Cambria Math" w:eastAsia="Times New Roman" w:hAnsi="Cambria Math" w:cs="Times New Roman"/>
            <w:color w:val="auto"/>
          </w:rPr>
          <m:t>G</m:t>
        </m:r>
      </m:oMath>
      <w:r w:rsidRPr="00B25A22">
        <w:rPr>
          <w:rFonts w:eastAsia="Times New Roman" w:cs="Times New Roman"/>
          <w:color w:val="auto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auto"/>
              </w:rPr>
              <m:t>K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d</m:t>
            </m:r>
          </m:sub>
        </m:sSub>
      </m:oMath>
      <w:r w:rsidRPr="00B25A22">
        <w:rPr>
          <w:rFonts w:eastAsia="Times New Roman" w:cs="Times New Roman"/>
          <w:color w:val="auto"/>
        </w:rPr>
        <w:t xml:space="preserve">, BSA, and LD parameters directly into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Microsoft Excel</w:t>
      </w:r>
      <w:r w:rsidRPr="00B25A22">
        <w:rPr>
          <w:rFonts w:eastAsia="Times New Roman" w:cs="Times New Roman"/>
          <w:color w:val="auto"/>
        </w:rPr>
        <w:t xml:space="preserve"> to catalog</w:t>
      </w:r>
      <w:r w:rsidR="00834C5C">
        <w:rPr>
          <w:rFonts w:eastAsia="Times New Roman" w:cs="Times New Roman"/>
          <w:color w:val="auto"/>
        </w:rPr>
        <w:t xml:space="preserve"> </w:t>
      </w:r>
      <w:r w:rsidRPr="00B25A22">
        <w:rPr>
          <w:rFonts w:eastAsia="Times New Roman" w:cs="Times New Roman"/>
          <w:color w:val="auto"/>
        </w:rPr>
        <w:t>structural variants.</w:t>
      </w:r>
    </w:p>
    <w:p w14:paraId="2F7B2C1A" w14:textId="77777777" w:rsidR="00B25A22" w:rsidRDefault="00B25A22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</w:p>
    <w:p w14:paraId="3011C346" w14:textId="76B8ED79" w:rsidR="008036FD" w:rsidRPr="00B25A22" w:rsidRDefault="008036FD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Section 5: Molecular Visualization and Mutation Mapping</w:t>
      </w:r>
    </w:p>
    <w:p w14:paraId="347D2667" w14:textId="77777777" w:rsidR="008036FD" w:rsidRPr="00B25A22" w:rsidRDefault="008036FD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To communicate these structural insights, the models are visually and quantitatively mapped using UCSF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ChimeraX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and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PyMOL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>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7396E0C8" w14:textId="77777777" w:rsidR="00B25A22" w:rsidRDefault="00B25A22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40370C51" w14:textId="23579FB6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 xml:space="preserve">5.1 Presentation High-Resolution Rendering (UCSF </w:t>
      </w:r>
      <w:proofErr w:type="spellStart"/>
      <w:r w:rsidRPr="00B25A22">
        <w:rPr>
          <w:rFonts w:eastAsia="Times New Roman" w:cs="Times New Roman"/>
          <w:b/>
          <w:bCs/>
          <w:color w:val="auto"/>
        </w:rPr>
        <w:t>ChimeraX</w:t>
      </w:r>
      <w:proofErr w:type="spellEnd"/>
      <w:r w:rsidRPr="00B25A22">
        <w:rPr>
          <w:rFonts w:eastAsia="Times New Roman" w:cs="Times New Roman"/>
          <w:b/>
          <w:bCs/>
          <w:color w:val="auto"/>
        </w:rPr>
        <w:t>)</w:t>
      </w:r>
    </w:p>
    <w:p w14:paraId="1AE06388" w14:textId="768FE5B4" w:rsidR="008036FD" w:rsidRPr="00B25A22" w:rsidRDefault="008036FD" w:rsidP="008036FD">
      <w:pPr>
        <w:numPr>
          <w:ilvl w:val="0"/>
          <w:numId w:val="1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>Open</w:t>
      </w:r>
      <w:r w:rsidR="00834C5C">
        <w:rPr>
          <w:rFonts w:eastAsia="Times New Roman" w:cs="Times New Roman"/>
          <w:color w:val="auto"/>
        </w:rPr>
        <w:t xml:space="preserve"> </w:t>
      </w:r>
      <w:r w:rsidRPr="00B25A22">
        <w:rPr>
          <w:rFonts w:eastAsia="Times New Roman" w:cs="Times New Roman"/>
          <w:color w:val="auto"/>
        </w:rPr>
        <w:t xml:space="preserve">top docked complex model inside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 xml:space="preserve">UCSF </w:t>
      </w:r>
      <w:proofErr w:type="spellStart"/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ChimeraX</w:t>
      </w:r>
      <w:proofErr w:type="spellEnd"/>
      <w:r w:rsidRPr="00B25A22">
        <w:rPr>
          <w:rFonts w:eastAsia="Times New Roman" w:cs="Times New Roman"/>
          <w:color w:val="auto"/>
        </w:rPr>
        <w:t>.</w:t>
      </w:r>
    </w:p>
    <w:p w14:paraId="2D5725A9" w14:textId="77777777" w:rsidR="008036FD" w:rsidRPr="00B25A22" w:rsidRDefault="008036FD" w:rsidP="008036FD">
      <w:pPr>
        <w:numPr>
          <w:ilvl w:val="0"/>
          <w:numId w:val="18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 xml:space="preserve">Run the following commands in the </w:t>
      </w:r>
      <w:proofErr w:type="spellStart"/>
      <w:r w:rsidRPr="00B25A22">
        <w:rPr>
          <w:rFonts w:eastAsia="Times New Roman" w:cs="Times New Roman"/>
          <w:color w:val="auto"/>
        </w:rPr>
        <w:t>ChimeraX</w:t>
      </w:r>
      <w:proofErr w:type="spellEnd"/>
      <w:r w:rsidRPr="00B25A22">
        <w:rPr>
          <w:rFonts w:eastAsia="Times New Roman" w:cs="Times New Roman"/>
          <w:color w:val="auto"/>
        </w:rPr>
        <w:t xml:space="preserve"> command bar to apply the publication styling:</w:t>
      </w:r>
    </w:p>
    <w:p w14:paraId="034C824A" w14:textId="77777777" w:rsidR="008036FD" w:rsidRPr="00834C5C" w:rsidRDefault="008036FD" w:rsidP="00834C5C">
      <w:pPr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</w:rPr>
      </w:pPr>
      <w:r w:rsidRPr="00834C5C">
        <w:rPr>
          <w:rFonts w:eastAsia="Times New Roman" w:cs="Times New Roman"/>
          <w:i/>
          <w:iCs/>
          <w:color w:val="auto"/>
          <w:bdr w:val="none" w:sz="0" w:space="0" w:color="auto" w:frame="1"/>
        </w:rPr>
        <w:t>Plaintext</w:t>
      </w:r>
    </w:p>
    <w:p w14:paraId="292F05B5" w14:textId="77777777" w:rsidR="008036FD" w:rsidRPr="00834C5C" w:rsidRDefault="008036FD" w:rsidP="00834C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  <w:bdr w:val="none" w:sz="0" w:space="0" w:color="auto" w:frame="1"/>
        </w:rPr>
      </w:pPr>
      <w:r w:rsidRPr="00834C5C">
        <w:rPr>
          <w:rFonts w:eastAsia="Times New Roman" w:cs="Times New Roman"/>
          <w:i/>
          <w:iCs/>
          <w:color w:val="auto"/>
          <w:bdr w:val="none" w:sz="0" w:space="0" w:color="auto" w:frame="1"/>
        </w:rPr>
        <w:t>lighting glossy</w:t>
      </w:r>
    </w:p>
    <w:p w14:paraId="0BFACCC6" w14:textId="77777777" w:rsidR="008036FD" w:rsidRPr="00834C5C" w:rsidRDefault="008036FD" w:rsidP="00834C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  <w:bdr w:val="none" w:sz="0" w:space="0" w:color="auto" w:frame="1"/>
        </w:rPr>
      </w:pPr>
      <w:proofErr w:type="spellStart"/>
      <w:r w:rsidRPr="00834C5C">
        <w:rPr>
          <w:rFonts w:eastAsia="Times New Roman" w:cs="Times New Roman"/>
          <w:i/>
          <w:iCs/>
          <w:color w:val="auto"/>
          <w:bdr w:val="none" w:sz="0" w:space="0" w:color="auto" w:frame="1"/>
        </w:rPr>
        <w:t>ambientOcclusion</w:t>
      </w:r>
      <w:proofErr w:type="spellEnd"/>
      <w:r w:rsidRPr="00834C5C">
        <w:rPr>
          <w:rFonts w:eastAsia="Times New Roman" w:cs="Times New Roman"/>
          <w:i/>
          <w:iCs/>
          <w:color w:val="auto"/>
          <w:bdr w:val="none" w:sz="0" w:space="0" w:color="auto" w:frame="1"/>
        </w:rPr>
        <w:t xml:space="preserve"> true</w:t>
      </w:r>
    </w:p>
    <w:p w14:paraId="2F8E6E25" w14:textId="77777777" w:rsidR="008036FD" w:rsidRDefault="008036FD" w:rsidP="00834C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  <w:bdr w:val="none" w:sz="0" w:space="0" w:color="auto" w:frame="1"/>
        </w:rPr>
      </w:pPr>
      <w:r w:rsidRPr="00834C5C">
        <w:rPr>
          <w:rFonts w:eastAsia="Times New Roman" w:cs="Times New Roman"/>
          <w:i/>
          <w:iCs/>
          <w:color w:val="auto"/>
          <w:bdr w:val="none" w:sz="0" w:space="0" w:color="auto" w:frame="1"/>
        </w:rPr>
        <w:t>graphics silhouettes true width 3</w:t>
      </w:r>
    </w:p>
    <w:p w14:paraId="377F6D3B" w14:textId="77777777" w:rsidR="00834C5C" w:rsidRPr="00834C5C" w:rsidRDefault="00834C5C" w:rsidP="00834C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left="720"/>
        <w:jc w:val="both"/>
        <w:rPr>
          <w:rFonts w:eastAsia="Times New Roman" w:cs="Times New Roman"/>
          <w:i/>
          <w:iCs/>
          <w:color w:val="auto"/>
          <w:bdr w:val="none" w:sz="0" w:space="0" w:color="auto" w:frame="1"/>
        </w:rPr>
      </w:pPr>
    </w:p>
    <w:p w14:paraId="06244D59" w14:textId="77777777" w:rsidR="008036FD" w:rsidRDefault="008036FD" w:rsidP="00834C5C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This clearly defines the complex surfaces and visually separates the antibody chains from the viral antigen using ambient occlusion, glossy lighting, and 3-pixel silhouette outlines.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2148EDAF" w14:textId="77777777" w:rsidR="00834C5C" w:rsidRDefault="00834C5C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39B802E2" w14:textId="2E8E39B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5.2 Interface Mutation Mapping (</w:t>
      </w:r>
      <w:proofErr w:type="spellStart"/>
      <w:r w:rsidRPr="00B25A22">
        <w:rPr>
          <w:rFonts w:eastAsia="Times New Roman" w:cs="Times New Roman"/>
          <w:b/>
          <w:bCs/>
          <w:color w:val="auto"/>
        </w:rPr>
        <w:t>PyMOL</w:t>
      </w:r>
      <w:proofErr w:type="spellEnd"/>
      <w:r w:rsidRPr="00B25A22">
        <w:rPr>
          <w:rFonts w:eastAsia="Times New Roman" w:cs="Times New Roman"/>
          <w:b/>
          <w:bCs/>
          <w:color w:val="auto"/>
        </w:rPr>
        <w:t xml:space="preserve"> Manual Workflow)</w:t>
      </w:r>
    </w:p>
    <w:p w14:paraId="635370BD" w14:textId="77777777" w:rsidR="008036FD" w:rsidRPr="00B25A22" w:rsidRDefault="008036FD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lastRenderedPageBreak/>
        <w:t xml:space="preserve">Instead of automation scripts, use </w:t>
      </w:r>
      <w:proofErr w:type="spellStart"/>
      <w:r w:rsidRPr="00B25A22">
        <w:rPr>
          <w:rFonts w:eastAsia="Times New Roman" w:cs="Times New Roman"/>
          <w:color w:val="auto"/>
        </w:rPr>
        <w:t>PyMOL's</w:t>
      </w:r>
      <w:proofErr w:type="spellEnd"/>
      <w:r w:rsidRPr="00B25A22">
        <w:rPr>
          <w:rFonts w:eastAsia="Times New Roman" w:cs="Times New Roman"/>
          <w:color w:val="auto"/>
        </w:rPr>
        <w:t xml:space="preserve"> GUI tools to flag contact positions precisely:</w:t>
      </w:r>
    </w:p>
    <w:p w14:paraId="1318FE4B" w14:textId="77777777" w:rsidR="008036FD" w:rsidRPr="00B25A22" w:rsidRDefault="008036FD" w:rsidP="008036FD">
      <w:pPr>
        <w:numPr>
          <w:ilvl w:val="0"/>
          <w:numId w:val="1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Interface Mapping: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Select all residues within </w:t>
      </w:r>
      <m:oMath>
        <m:r>
          <w:rPr>
            <w:rFonts w:ascii="Cambria Math" w:eastAsia="Times New Roman" w:hAnsi="Cambria Math" w:cs="Times New Roman"/>
            <w:color w:val="auto"/>
          </w:rPr>
          <m:t>5.5</m:t>
        </m:r>
        <m:r>
          <m:rPr>
            <m:nor/>
          </m:rPr>
          <w:rPr>
            <w:rFonts w:eastAsia="Times New Roman" w:cs="Times New Roman"/>
            <w:color w:val="auto"/>
          </w:rPr>
          <m:t> AA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of the binding interface to quantify exactly how variant substitutions disrupt antibody recognition.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40E051D9" w14:textId="77777777" w:rsidR="008036FD" w:rsidRPr="00B25A22" w:rsidRDefault="008036FD" w:rsidP="008036FD">
      <w:pPr>
        <w:numPr>
          <w:ilvl w:val="1"/>
          <w:numId w:val="1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 xml:space="preserve">In the </w:t>
      </w:r>
      <w:proofErr w:type="spellStart"/>
      <w:r w:rsidRPr="00B25A22">
        <w:rPr>
          <w:rFonts w:eastAsia="Times New Roman" w:cs="Times New Roman"/>
          <w:color w:val="auto"/>
        </w:rPr>
        <w:t>PyMOL</w:t>
      </w:r>
      <w:proofErr w:type="spellEnd"/>
      <w:r w:rsidRPr="00B25A22">
        <w:rPr>
          <w:rFonts w:eastAsia="Times New Roman" w:cs="Times New Roman"/>
          <w:color w:val="auto"/>
        </w:rPr>
        <w:t xml:space="preserve"> command line, enter:</w:t>
      </w:r>
    </w:p>
    <w:p w14:paraId="78B0BA0F" w14:textId="77777777" w:rsidR="008036FD" w:rsidRPr="00B25A22" w:rsidRDefault="008036FD" w:rsidP="008036FD">
      <w:pPr>
        <w:spacing w:before="0" w:beforeAutospacing="0" w:after="0" w:line="360" w:lineRule="auto"/>
        <w:ind w:left="1440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Plaintext</w:t>
      </w:r>
    </w:p>
    <w:p w14:paraId="2EDED58D" w14:textId="77777777" w:rsidR="008036FD" w:rsidRPr="00B25A22" w:rsidRDefault="008036FD" w:rsidP="008036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line="360" w:lineRule="auto"/>
        <w:ind w:left="1440"/>
        <w:jc w:val="both"/>
        <w:rPr>
          <w:rFonts w:eastAsia="Times New Roman" w:cs="Times New Roman"/>
          <w:color w:val="auto"/>
          <w:bdr w:val="none" w:sz="0" w:space="0" w:color="auto" w:frame="1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select interface_5.5, (chain A within 5.5 of chain H+L) or (chain H+L within 5.5 of chain A)</w:t>
      </w:r>
    </w:p>
    <w:p w14:paraId="35B33EB1" w14:textId="77777777" w:rsidR="008036FD" w:rsidRPr="00B25A22" w:rsidRDefault="008036FD" w:rsidP="008036FD">
      <w:pPr>
        <w:numPr>
          <w:ilvl w:val="1"/>
          <w:numId w:val="1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>Change the display action of interface_5.5 to Lines or Sticks to reveal the contact network.</w:t>
      </w:r>
    </w:p>
    <w:p w14:paraId="3878D62E" w14:textId="154EDF1B" w:rsidR="008036FD" w:rsidRPr="00B25A22" w:rsidRDefault="008036FD" w:rsidP="008036FD">
      <w:pPr>
        <w:numPr>
          <w:ilvl w:val="0"/>
          <w:numId w:val="1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Automated/Manual Mutation Overlays: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To visually isolate</w:t>
      </w:r>
      <w:r w:rsidR="00834C5C">
        <w:rPr>
          <w:rFonts w:eastAsia="Times New Roman" w:cs="Times New Roman"/>
          <w:color w:val="auto"/>
          <w:bdr w:val="none" w:sz="0" w:space="0" w:color="auto" w:frame="1"/>
        </w:rPr>
        <w:t xml:space="preserve"> 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>lineages, highlight specific evolutionary escape variants (e.g., L455S or G446S) by selecting the exact residues: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0EBD804D" w14:textId="77777777" w:rsidR="008036FD" w:rsidRPr="00B25A22" w:rsidRDefault="008036FD" w:rsidP="008036FD">
      <w:pPr>
        <w:spacing w:before="0" w:beforeAutospacing="0" w:after="0" w:line="360" w:lineRule="auto"/>
        <w:ind w:left="720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Plaintext</w:t>
      </w:r>
    </w:p>
    <w:p w14:paraId="16EFB86E" w14:textId="77777777" w:rsidR="008036FD" w:rsidRPr="00B25A22" w:rsidRDefault="008036FD" w:rsidP="008036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line="360" w:lineRule="auto"/>
        <w:ind w:left="720"/>
        <w:jc w:val="both"/>
        <w:rPr>
          <w:rFonts w:eastAsia="Times New Roman" w:cs="Times New Roman"/>
          <w:color w:val="auto"/>
          <w:bdr w:val="none" w:sz="0" w:space="0" w:color="auto" w:frame="1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select mutations, chain A and </w:t>
      </w:r>
      <w:proofErr w:type="spellStart"/>
      <w:r w:rsidRPr="00B25A22">
        <w:rPr>
          <w:rFonts w:eastAsia="Times New Roman" w:cs="Times New Roman"/>
          <w:color w:val="auto"/>
          <w:bdr w:val="none" w:sz="0" w:space="0" w:color="auto" w:frame="1"/>
        </w:rPr>
        <w:t>resi</w:t>
      </w:r>
      <w:proofErr w:type="spellEnd"/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455+446</w:t>
      </w:r>
    </w:p>
    <w:p w14:paraId="05831F1E" w14:textId="469533F9" w:rsidR="008036FD" w:rsidRPr="00B25A22" w:rsidRDefault="008036FD" w:rsidP="008036FD">
      <w:pPr>
        <w:numPr>
          <w:ilvl w:val="0"/>
          <w:numId w:val="19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Click the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C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(Color) panel next to</w:t>
      </w:r>
      <w:r w:rsidR="00834C5C">
        <w:rPr>
          <w:rFonts w:eastAsia="Times New Roman" w:cs="Times New Roman"/>
          <w:color w:val="auto"/>
          <w:bdr w:val="none" w:sz="0" w:space="0" w:color="auto" w:frame="1"/>
        </w:rPr>
        <w:t xml:space="preserve"> 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mutations selection and select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Red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. Click the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S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(Show) panel and select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Spheres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to show them clearly as red spheres embedded at the contact interface.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1CACA17C" w14:textId="77777777" w:rsidR="00B25A22" w:rsidRDefault="00B25A22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</w:p>
    <w:p w14:paraId="124D7C7F" w14:textId="7E3A466C" w:rsidR="008036FD" w:rsidRPr="00B25A22" w:rsidRDefault="008036FD" w:rsidP="008036FD">
      <w:pPr>
        <w:spacing w:before="0" w:beforeAutospacing="0" w:after="0" w:line="360" w:lineRule="auto"/>
        <w:jc w:val="both"/>
        <w:outlineLvl w:val="1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Section 6: Statistical Correlation Modeling (Excel &amp; GraphPad Prism)</w:t>
      </w:r>
    </w:p>
    <w:p w14:paraId="41ADC943" w14:textId="3E13B67D" w:rsidR="008036FD" w:rsidRPr="00B25A22" w:rsidRDefault="008036FD" w:rsidP="008036FD">
      <w:p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>The final post-processing step mathematically bridges</w:t>
      </w:r>
      <w:r w:rsidR="00834C5C">
        <w:rPr>
          <w:rFonts w:eastAsia="Times New Roman" w:cs="Times New Roman"/>
          <w:color w:val="auto"/>
          <w:bdr w:val="none" w:sz="0" w:space="0" w:color="auto" w:frame="1"/>
        </w:rPr>
        <w:t xml:space="preserve"> 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>computational models with</w:t>
      </w:r>
      <w:r w:rsidR="00834C5C">
        <w:rPr>
          <w:rFonts w:eastAsia="Times New Roman" w:cs="Times New Roman"/>
          <w:color w:val="auto"/>
          <w:bdr w:val="none" w:sz="0" w:space="0" w:color="auto" w:frame="1"/>
        </w:rPr>
        <w:t xml:space="preserve"> 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>clinical serology data.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33050FC7" w14:textId="77777777" w:rsidR="00B25A22" w:rsidRDefault="00B25A22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</w:p>
    <w:p w14:paraId="430EE0DD" w14:textId="25BBDC74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6.1 Data Setup and Normalization (Microsoft Excel)</w:t>
      </w:r>
    </w:p>
    <w:p w14:paraId="2CD549BD" w14:textId="77777777" w:rsidR="008036FD" w:rsidRPr="00B25A22" w:rsidRDefault="008036FD" w:rsidP="008036FD">
      <w:pPr>
        <w:numPr>
          <w:ilvl w:val="0"/>
          <w:numId w:val="2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>Create an Excel sheet with columns for: Variant Lineage, Patient ID, Experimental GMT (Geometric Mean Titer), and Computational Free Energy (ΔG).</w:t>
      </w:r>
    </w:p>
    <w:p w14:paraId="0D7AAE21" w14:textId="77777777" w:rsidR="008036FD" w:rsidRPr="00B25A22" w:rsidRDefault="008036FD" w:rsidP="008036FD">
      <w:pPr>
        <w:numPr>
          <w:ilvl w:val="0"/>
          <w:numId w:val="2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Normalization: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Variables like antibody titers and dissociation constants are </w:t>
      </w:r>
      <m:oMath>
        <m:sSub>
          <m:sSubPr>
            <m:ctrlPr>
              <w:rPr>
                <w:rFonts w:ascii="Cambria Math" w:eastAsia="Times New Roman" w:hAnsi="Cambria Math" w:cs="Times New Roman"/>
                <w:color w:val="auto"/>
              </w:rPr>
            </m:ctrlPr>
          </m:sSubPr>
          <m:e>
            <m:r>
              <m:rPr>
                <m:nor/>
              </m:rPr>
              <w:rPr>
                <w:rFonts w:eastAsia="Times New Roman" w:cs="Times New Roman"/>
                <w:color w:val="auto"/>
              </w:rPr>
              <m:t>Log</m:t>
            </m:r>
          </m:e>
          <m:sub>
            <m:r>
              <w:rPr>
                <w:rFonts w:ascii="Cambria Math" w:eastAsia="Times New Roman" w:hAnsi="Cambria Math" w:cs="Times New Roman"/>
                <w:color w:val="auto"/>
              </w:rPr>
              <m:t>10</m:t>
            </m:r>
          </m:sub>
        </m:sSub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transformed to ensure homoscedasticity and approximate normality.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3676F2FE" w14:textId="77777777" w:rsidR="008036FD" w:rsidRPr="00B25A22" w:rsidRDefault="008036FD" w:rsidP="008036FD">
      <w:pPr>
        <w:numPr>
          <w:ilvl w:val="1"/>
          <w:numId w:val="2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>In a new column for Log-GMT, use the Excel formula: =LOG10(C2) (assuming GMT is in column C).</w:t>
      </w:r>
    </w:p>
    <w:p w14:paraId="0C54CD4C" w14:textId="77777777" w:rsidR="008036FD" w:rsidRPr="00B25A22" w:rsidRDefault="008036FD" w:rsidP="008036FD">
      <w:pPr>
        <w:numPr>
          <w:ilvl w:val="0"/>
          <w:numId w:val="20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 xml:space="preserve">Copy this clean, normalized dataset and open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GraphPad Prism</w:t>
      </w:r>
      <w:r w:rsidRPr="00B25A22">
        <w:rPr>
          <w:rFonts w:eastAsia="Times New Roman" w:cs="Times New Roman"/>
          <w:color w:val="auto"/>
        </w:rPr>
        <w:t>.</w:t>
      </w:r>
    </w:p>
    <w:p w14:paraId="2C5499FA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6.2 Pearson Correlation (GraphPad Prism)</w:t>
      </w:r>
    </w:p>
    <w:p w14:paraId="44A3DC98" w14:textId="3CA4B77B" w:rsidR="008036FD" w:rsidRPr="00B25A22" w:rsidRDefault="008036FD" w:rsidP="008036FD">
      <w:pPr>
        <w:numPr>
          <w:ilvl w:val="0"/>
          <w:numId w:val="2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lastRenderedPageBreak/>
        <w:t xml:space="preserve">Select a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XY</w:t>
      </w:r>
      <w:r w:rsidRPr="00B25A22">
        <w:rPr>
          <w:rFonts w:eastAsia="Times New Roman" w:cs="Times New Roman"/>
          <w:color w:val="auto"/>
        </w:rPr>
        <w:t xml:space="preserve"> data table format in GraphPad Prism. Paste Computational ΔG values into the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X Column</w:t>
      </w:r>
      <w:r w:rsidRPr="00B25A22">
        <w:rPr>
          <w:rFonts w:eastAsia="Times New Roman" w:cs="Times New Roman"/>
          <w:color w:val="auto"/>
        </w:rPr>
        <w:t xml:space="preserve"> and</w:t>
      </w:r>
      <w:r w:rsidR="00834C5C">
        <w:rPr>
          <w:rFonts w:eastAsia="Times New Roman" w:cs="Times New Roman"/>
          <w:color w:val="auto"/>
        </w:rPr>
        <w:t xml:space="preserve"> </w:t>
      </w:r>
      <w:r w:rsidRPr="00B25A22">
        <w:rPr>
          <w:rFonts w:eastAsia="Times New Roman" w:cs="Times New Roman"/>
          <w:color w:val="auto"/>
        </w:rPr>
        <w:t xml:space="preserve">Log10_GMT values into the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Y Column</w:t>
      </w:r>
      <w:r w:rsidRPr="00B25A22">
        <w:rPr>
          <w:rFonts w:eastAsia="Times New Roman" w:cs="Times New Roman"/>
          <w:color w:val="auto"/>
        </w:rPr>
        <w:t>.</w:t>
      </w:r>
    </w:p>
    <w:p w14:paraId="5D5285B7" w14:textId="77777777" w:rsidR="008036FD" w:rsidRPr="00B25A22" w:rsidRDefault="008036FD" w:rsidP="008036FD">
      <w:pPr>
        <w:numPr>
          <w:ilvl w:val="0"/>
          <w:numId w:val="2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 xml:space="preserve">Click on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Analyze</w:t>
      </w:r>
      <w:r w:rsidRPr="00B25A22">
        <w:rPr>
          <w:rFonts w:eastAsia="Times New Roman" w:cs="Times New Roman"/>
          <w:color w:val="auto"/>
        </w:rPr>
        <w:t xml:space="preserve">, choose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XY analyses</w:t>
      </w:r>
      <w:r w:rsidRPr="00B25A22">
        <w:rPr>
          <w:rFonts w:eastAsia="Times New Roman" w:cs="Times New Roman"/>
          <w:color w:val="auto"/>
        </w:rPr>
        <w:t xml:space="preserve">, and click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Correlation</w:t>
      </w:r>
      <w:r w:rsidRPr="00B25A22">
        <w:rPr>
          <w:rFonts w:eastAsia="Times New Roman" w:cs="Times New Roman"/>
          <w:color w:val="auto"/>
        </w:rPr>
        <w:t>.</w:t>
      </w:r>
    </w:p>
    <w:p w14:paraId="41E096CC" w14:textId="77777777" w:rsidR="008036FD" w:rsidRPr="00B25A22" w:rsidRDefault="008036FD" w:rsidP="008036FD">
      <w:pPr>
        <w:numPr>
          <w:ilvl w:val="0"/>
          <w:numId w:val="21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Select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Pearson correlation analysis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to evaluate the linear relationship between the computationally derived binding free energies (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auto"/>
          </w:rPr>
          <m:t>Δ</m:t>
        </m:r>
        <m:r>
          <w:rPr>
            <w:rFonts w:ascii="Cambria Math" w:eastAsia="Times New Roman" w:hAnsi="Cambria Math" w:cs="Times New Roman"/>
            <w:color w:val="auto"/>
          </w:rPr>
          <m:t>G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) and the experimental Geometric Mean Titers (GMT). Check the box to report </w:t>
      </w:r>
      <m:oMath>
        <m:r>
          <w:rPr>
            <w:rFonts w:ascii="Cambria Math" w:eastAsia="Times New Roman" w:hAnsi="Cambria Math" w:cs="Times New Roman"/>
            <w:color w:val="auto"/>
          </w:rPr>
          <m:t>r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and the two-tailed </w:t>
      </w:r>
      <m:oMath>
        <m:r>
          <w:rPr>
            <w:rFonts w:ascii="Cambria Math" w:eastAsia="Times New Roman" w:hAnsi="Cambria Math" w:cs="Times New Roman"/>
            <w:color w:val="auto"/>
          </w:rPr>
          <m:t>p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-value.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6005D75D" w14:textId="77777777" w:rsidR="008036FD" w:rsidRPr="00B25A22" w:rsidRDefault="008036FD" w:rsidP="008036FD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  <w:color w:val="auto"/>
        </w:rPr>
      </w:pPr>
      <w:r w:rsidRPr="00B25A22">
        <w:rPr>
          <w:rFonts w:eastAsia="Times New Roman" w:cs="Times New Roman"/>
          <w:b/>
          <w:bCs/>
          <w:color w:val="auto"/>
        </w:rPr>
        <w:t>6.3 Repeated Measures Two-Way ANOVA (GraphPad Prism)</w:t>
      </w:r>
    </w:p>
    <w:p w14:paraId="5B240105" w14:textId="59CDF22C" w:rsidR="008036FD" w:rsidRPr="00B25A22" w:rsidRDefault="008036FD" w:rsidP="008036FD">
      <w:pPr>
        <w:numPr>
          <w:ilvl w:val="0"/>
          <w:numId w:val="2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Create a new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Grouped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data table in GraphPad Prism to analyze</w:t>
      </w:r>
      <w:r w:rsidR="00834C5C">
        <w:rPr>
          <w:rFonts w:eastAsia="Times New Roman" w:cs="Times New Roman"/>
          <w:color w:val="auto"/>
          <w:bdr w:val="none" w:sz="0" w:space="0" w:color="auto" w:frame="1"/>
        </w:rPr>
        <w:t xml:space="preserve"> 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>potency shifts across different evolutionary lineages.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0F480EC9" w14:textId="72004C92" w:rsidR="008036FD" w:rsidRPr="00B25A22" w:rsidRDefault="008036FD" w:rsidP="008036FD">
      <w:pPr>
        <w:numPr>
          <w:ilvl w:val="0"/>
          <w:numId w:val="2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>Set up the table so that rows represent</w:t>
      </w:r>
      <w:r w:rsidR="00834C5C">
        <w:rPr>
          <w:rFonts w:eastAsia="Times New Roman" w:cs="Times New Roman"/>
          <w:color w:val="auto"/>
        </w:rPr>
        <w:t xml:space="preserve"> </w:t>
      </w:r>
      <w:r w:rsidRPr="00B25A22">
        <w:rPr>
          <w:rFonts w:eastAsia="Times New Roman" w:cs="Times New Roman"/>
          <w:color w:val="auto"/>
        </w:rPr>
        <w:t>baseline matched clinical patient samples (Patient ID) and columns represent the evolutionary Variant Lineages. Populate the cells with the Log10_GMT data.</w:t>
      </w:r>
    </w:p>
    <w:p w14:paraId="5A6BF30F" w14:textId="77777777" w:rsidR="008036FD" w:rsidRPr="00B25A22" w:rsidRDefault="008036FD" w:rsidP="008036FD">
      <w:pPr>
        <w:numPr>
          <w:ilvl w:val="0"/>
          <w:numId w:val="2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</w:rPr>
        <w:t xml:space="preserve">Click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Analyze</w:t>
      </w:r>
      <w:r w:rsidRPr="00B25A22">
        <w:rPr>
          <w:rFonts w:eastAsia="Times New Roman" w:cs="Times New Roman"/>
          <w:color w:val="auto"/>
        </w:rPr>
        <w:t xml:space="preserve">, choose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Grouped analyses</w:t>
      </w:r>
      <w:r w:rsidRPr="00B25A22">
        <w:rPr>
          <w:rFonts w:eastAsia="Times New Roman" w:cs="Times New Roman"/>
          <w:color w:val="auto"/>
        </w:rPr>
        <w:t xml:space="preserve">, and select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Two-way ANOVA</w:t>
      </w:r>
      <w:r w:rsidRPr="00B25A22">
        <w:rPr>
          <w:rFonts w:eastAsia="Times New Roman" w:cs="Times New Roman"/>
          <w:color w:val="auto"/>
        </w:rPr>
        <w:t>.</w:t>
      </w:r>
    </w:p>
    <w:p w14:paraId="7A586F92" w14:textId="77777777" w:rsidR="008036FD" w:rsidRPr="00B25A22" w:rsidRDefault="008036FD" w:rsidP="008036FD">
      <w:pPr>
        <w:numPr>
          <w:ilvl w:val="0"/>
          <w:numId w:val="2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Check the option for a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Repeated Measures design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(matching values across rows to control for paired patient backgrounds).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2DBD2E2C" w14:textId="0F1E4C47" w:rsidR="008036FD" w:rsidRPr="00B25A22" w:rsidRDefault="008036FD" w:rsidP="008036FD">
      <w:pPr>
        <w:numPr>
          <w:ilvl w:val="0"/>
          <w:numId w:val="22"/>
        </w:numPr>
        <w:spacing w:before="0" w:beforeAutospacing="0" w:after="0" w:line="360" w:lineRule="auto"/>
        <w:jc w:val="both"/>
        <w:rPr>
          <w:rFonts w:eastAsia="Times New Roman" w:cs="Times New Roman"/>
          <w:color w:val="auto"/>
        </w:rPr>
      </w:pP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Under the </w:t>
      </w:r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Multiple Comparisons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tab, select </w:t>
      </w:r>
      <w:proofErr w:type="spellStart"/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>Šídák’s</w:t>
      </w:r>
      <w:proofErr w:type="spellEnd"/>
      <w:r w:rsidRPr="00B25A22">
        <w:rPr>
          <w:rFonts w:eastAsia="Times New Roman" w:cs="Times New Roman"/>
          <w:b/>
          <w:bCs/>
          <w:color w:val="auto"/>
          <w:bdr w:val="none" w:sz="0" w:space="0" w:color="auto" w:frame="1"/>
        </w:rPr>
        <w:t xml:space="preserve"> multiple comparison test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 xml:space="preserve"> to rigorously analyze the statistical significance of potency shifts across the different evolutionary lineages while controlling for false positives. Run the analysis and export the resulting ANOVA tables and post-hoc </w:t>
      </w:r>
      <m:oMath>
        <m:r>
          <w:rPr>
            <w:rFonts w:ascii="Cambria Math" w:eastAsia="Times New Roman" w:hAnsi="Cambria Math" w:cs="Times New Roman"/>
            <w:color w:val="auto"/>
          </w:rPr>
          <m:t>p</m:t>
        </m:r>
      </m:oMath>
      <w:r w:rsidRPr="00B25A22">
        <w:rPr>
          <w:rFonts w:eastAsia="Times New Roman" w:cs="Times New Roman"/>
          <w:color w:val="auto"/>
          <w:bdr w:val="none" w:sz="0" w:space="0" w:color="auto" w:frame="1"/>
        </w:rPr>
        <w:t>-values for</w:t>
      </w:r>
      <w:r w:rsidR="00834C5C">
        <w:rPr>
          <w:rFonts w:eastAsia="Times New Roman" w:cs="Times New Roman"/>
          <w:color w:val="auto"/>
          <w:bdr w:val="none" w:sz="0" w:space="0" w:color="auto" w:frame="1"/>
        </w:rPr>
        <w:t xml:space="preserve"> </w:t>
      </w:r>
      <w:r w:rsidRPr="00B25A22">
        <w:rPr>
          <w:rFonts w:eastAsia="Times New Roman" w:cs="Times New Roman"/>
          <w:color w:val="auto"/>
          <w:bdr w:val="none" w:sz="0" w:space="0" w:color="auto" w:frame="1"/>
        </w:rPr>
        <w:t>thesis draft.</w:t>
      </w:r>
      <w:r w:rsidRPr="00B25A22">
        <w:rPr>
          <w:rFonts w:eastAsia="Times New Roman" w:cs="Times New Roman"/>
          <w:color w:val="auto"/>
        </w:rPr>
        <w:t xml:space="preserve"> </w:t>
      </w:r>
    </w:p>
    <w:p w14:paraId="3C57EED4" w14:textId="77777777" w:rsidR="002E6127" w:rsidRPr="00B25A22" w:rsidRDefault="002E6127" w:rsidP="008036FD">
      <w:pPr>
        <w:spacing w:before="0" w:beforeAutospacing="0" w:after="0" w:line="360" w:lineRule="auto"/>
        <w:jc w:val="both"/>
        <w:rPr>
          <w:rFonts w:cs="Times New Roman"/>
          <w:color w:val="auto"/>
        </w:rPr>
      </w:pPr>
    </w:p>
    <w:sectPr w:rsidR="002E6127" w:rsidRPr="00B25A22" w:rsidSect="00DE3DE2"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1DC2"/>
    <w:multiLevelType w:val="multilevel"/>
    <w:tmpl w:val="7F7C1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F3622"/>
    <w:multiLevelType w:val="multilevel"/>
    <w:tmpl w:val="0144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30439"/>
    <w:multiLevelType w:val="multilevel"/>
    <w:tmpl w:val="50EE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33DAA"/>
    <w:multiLevelType w:val="multilevel"/>
    <w:tmpl w:val="CB52A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F34887"/>
    <w:multiLevelType w:val="multilevel"/>
    <w:tmpl w:val="5DCA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2C48C7"/>
    <w:multiLevelType w:val="multilevel"/>
    <w:tmpl w:val="7480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D70A9"/>
    <w:multiLevelType w:val="multilevel"/>
    <w:tmpl w:val="B648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8F785D"/>
    <w:multiLevelType w:val="multilevel"/>
    <w:tmpl w:val="D5A6D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287714"/>
    <w:multiLevelType w:val="multilevel"/>
    <w:tmpl w:val="38CA1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F86E42"/>
    <w:multiLevelType w:val="multilevel"/>
    <w:tmpl w:val="52A4E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1F461F"/>
    <w:multiLevelType w:val="multilevel"/>
    <w:tmpl w:val="9AECC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54267C"/>
    <w:multiLevelType w:val="multilevel"/>
    <w:tmpl w:val="5AB2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764150"/>
    <w:multiLevelType w:val="multilevel"/>
    <w:tmpl w:val="AD623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C775B3"/>
    <w:multiLevelType w:val="multilevel"/>
    <w:tmpl w:val="4B7AF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DD1E98"/>
    <w:multiLevelType w:val="multilevel"/>
    <w:tmpl w:val="DFCC4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9A67F7"/>
    <w:multiLevelType w:val="multilevel"/>
    <w:tmpl w:val="7270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6F5AE9"/>
    <w:multiLevelType w:val="multilevel"/>
    <w:tmpl w:val="BA18E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DC1618"/>
    <w:multiLevelType w:val="multilevel"/>
    <w:tmpl w:val="7D7C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6634B8"/>
    <w:multiLevelType w:val="multilevel"/>
    <w:tmpl w:val="5090F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376405"/>
    <w:multiLevelType w:val="multilevel"/>
    <w:tmpl w:val="AC2C8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6C211A"/>
    <w:multiLevelType w:val="multilevel"/>
    <w:tmpl w:val="4D729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2E6EDD"/>
    <w:multiLevelType w:val="multilevel"/>
    <w:tmpl w:val="C1DA5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076490">
    <w:abstractNumId w:val="11"/>
  </w:num>
  <w:num w:numId="2" w16cid:durableId="1307858621">
    <w:abstractNumId w:val="7"/>
  </w:num>
  <w:num w:numId="3" w16cid:durableId="1366565521">
    <w:abstractNumId w:val="17"/>
  </w:num>
  <w:num w:numId="4" w16cid:durableId="1882209812">
    <w:abstractNumId w:val="10"/>
  </w:num>
  <w:num w:numId="5" w16cid:durableId="19669171">
    <w:abstractNumId w:val="12"/>
  </w:num>
  <w:num w:numId="6" w16cid:durableId="264117963">
    <w:abstractNumId w:val="6"/>
  </w:num>
  <w:num w:numId="7" w16cid:durableId="2091923270">
    <w:abstractNumId w:val="3"/>
  </w:num>
  <w:num w:numId="8" w16cid:durableId="1426072894">
    <w:abstractNumId w:val="21"/>
  </w:num>
  <w:num w:numId="9" w16cid:durableId="298844222">
    <w:abstractNumId w:val="5"/>
  </w:num>
  <w:num w:numId="10" w16cid:durableId="1662343548">
    <w:abstractNumId w:val="1"/>
  </w:num>
  <w:num w:numId="11" w16cid:durableId="1611665884">
    <w:abstractNumId w:val="14"/>
  </w:num>
  <w:num w:numId="12" w16cid:durableId="1325665726">
    <w:abstractNumId w:val="19"/>
  </w:num>
  <w:num w:numId="13" w16cid:durableId="218520775">
    <w:abstractNumId w:val="15"/>
  </w:num>
  <w:num w:numId="14" w16cid:durableId="726147482">
    <w:abstractNumId w:val="0"/>
  </w:num>
  <w:num w:numId="15" w16cid:durableId="963465228">
    <w:abstractNumId w:val="13"/>
  </w:num>
  <w:num w:numId="16" w16cid:durableId="1573463284">
    <w:abstractNumId w:val="2"/>
  </w:num>
  <w:num w:numId="17" w16cid:durableId="1476602469">
    <w:abstractNumId w:val="20"/>
  </w:num>
  <w:num w:numId="18" w16cid:durableId="981423757">
    <w:abstractNumId w:val="8"/>
  </w:num>
  <w:num w:numId="19" w16cid:durableId="1462187719">
    <w:abstractNumId w:val="4"/>
  </w:num>
  <w:num w:numId="20" w16cid:durableId="1235628552">
    <w:abstractNumId w:val="16"/>
  </w:num>
  <w:num w:numId="21" w16cid:durableId="1852714856">
    <w:abstractNumId w:val="18"/>
  </w:num>
  <w:num w:numId="22" w16cid:durableId="9941838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gutterAtTop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127"/>
    <w:rsid w:val="002E6127"/>
    <w:rsid w:val="00371460"/>
    <w:rsid w:val="00554339"/>
    <w:rsid w:val="005F6F64"/>
    <w:rsid w:val="006604EF"/>
    <w:rsid w:val="006F1DEA"/>
    <w:rsid w:val="0075534D"/>
    <w:rsid w:val="00755613"/>
    <w:rsid w:val="008036FD"/>
    <w:rsid w:val="00834C5C"/>
    <w:rsid w:val="00885A44"/>
    <w:rsid w:val="00885D6F"/>
    <w:rsid w:val="0093434C"/>
    <w:rsid w:val="0097037D"/>
    <w:rsid w:val="00AB5703"/>
    <w:rsid w:val="00B25A22"/>
    <w:rsid w:val="00C11950"/>
    <w:rsid w:val="00DE3DE2"/>
    <w:rsid w:val="00E4492A"/>
    <w:rsid w:val="00E77AB8"/>
    <w:rsid w:val="00F13302"/>
    <w:rsid w:val="00F7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CF753"/>
  <w15:chartTrackingRefBased/>
  <w15:docId w15:val="{7D046E91-E69C-428C-9242-1A3BFEED6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Arial"/>
        <w:color w:val="1F1F1F"/>
        <w:sz w:val="24"/>
        <w:szCs w:val="24"/>
        <w:lang w:val="en-US" w:eastAsia="en-US" w:bidi="ar-SA"/>
      </w:rPr>
    </w:rPrDefault>
    <w:pPrDefault>
      <w:pPr>
        <w:spacing w:before="100" w:beforeAutospacing="1"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612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12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12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12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12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127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127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E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E612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12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12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12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12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12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12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127"/>
    <w:pPr>
      <w:spacing w:before="0"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6127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12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612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61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1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61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1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12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E6127"/>
    <w:pPr>
      <w:spacing w:after="100" w:afterAutospacing="1"/>
    </w:pPr>
    <w:rPr>
      <w:rFonts w:eastAsia="Times New Roman" w:cs="Times New Roman"/>
      <w:color w:val="auto"/>
    </w:rPr>
  </w:style>
  <w:style w:type="character" w:styleId="Strong">
    <w:name w:val="Strong"/>
    <w:basedOn w:val="DefaultParagraphFont"/>
    <w:uiPriority w:val="22"/>
    <w:qFormat/>
    <w:rsid w:val="002E6127"/>
    <w:rPr>
      <w:b/>
      <w:bCs/>
    </w:rPr>
  </w:style>
  <w:style w:type="character" w:customStyle="1" w:styleId="citation-384">
    <w:name w:val="citation-384"/>
    <w:basedOn w:val="DefaultParagraphFont"/>
    <w:rsid w:val="008036FD"/>
  </w:style>
  <w:style w:type="character" w:customStyle="1" w:styleId="citation-383">
    <w:name w:val="citation-383"/>
    <w:basedOn w:val="DefaultParagraphFont"/>
    <w:rsid w:val="008036FD"/>
  </w:style>
  <w:style w:type="character" w:customStyle="1" w:styleId="citation-382">
    <w:name w:val="citation-382"/>
    <w:basedOn w:val="DefaultParagraphFont"/>
    <w:rsid w:val="008036FD"/>
  </w:style>
  <w:style w:type="character" w:styleId="HTMLCode">
    <w:name w:val="HTML Code"/>
    <w:basedOn w:val="DefaultParagraphFont"/>
    <w:uiPriority w:val="99"/>
    <w:semiHidden/>
    <w:unhideWhenUsed/>
    <w:rsid w:val="008036FD"/>
    <w:rPr>
      <w:rFonts w:ascii="Courier New" w:eastAsia="Times New Roman" w:hAnsi="Courier New" w:cs="Courier New"/>
      <w:sz w:val="20"/>
      <w:szCs w:val="20"/>
    </w:rPr>
  </w:style>
  <w:style w:type="character" w:customStyle="1" w:styleId="citation-381">
    <w:name w:val="citation-381"/>
    <w:basedOn w:val="DefaultParagraphFont"/>
    <w:rsid w:val="008036FD"/>
  </w:style>
  <w:style w:type="character" w:customStyle="1" w:styleId="citation-380">
    <w:name w:val="citation-380"/>
    <w:basedOn w:val="DefaultParagraphFont"/>
    <w:rsid w:val="008036FD"/>
  </w:style>
  <w:style w:type="character" w:customStyle="1" w:styleId="citation-379">
    <w:name w:val="citation-379"/>
    <w:basedOn w:val="DefaultParagraphFont"/>
    <w:rsid w:val="008036FD"/>
  </w:style>
  <w:style w:type="character" w:customStyle="1" w:styleId="citation-378">
    <w:name w:val="citation-378"/>
    <w:basedOn w:val="DefaultParagraphFont"/>
    <w:rsid w:val="008036FD"/>
  </w:style>
  <w:style w:type="character" w:customStyle="1" w:styleId="citation-377">
    <w:name w:val="citation-377"/>
    <w:basedOn w:val="DefaultParagraphFont"/>
    <w:rsid w:val="008036FD"/>
  </w:style>
  <w:style w:type="character" w:customStyle="1" w:styleId="ng-tns-c4101540782-103">
    <w:name w:val="ng-tns-c4101540782-103"/>
    <w:basedOn w:val="DefaultParagraphFont"/>
    <w:rsid w:val="008036FD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036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036FD"/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citation-376">
    <w:name w:val="citation-376"/>
    <w:basedOn w:val="DefaultParagraphFont"/>
    <w:rsid w:val="008036FD"/>
  </w:style>
  <w:style w:type="character" w:customStyle="1" w:styleId="citation-375">
    <w:name w:val="citation-375"/>
    <w:basedOn w:val="DefaultParagraphFont"/>
    <w:rsid w:val="008036FD"/>
  </w:style>
  <w:style w:type="character" w:customStyle="1" w:styleId="citation-374">
    <w:name w:val="citation-374"/>
    <w:basedOn w:val="DefaultParagraphFont"/>
    <w:rsid w:val="008036FD"/>
  </w:style>
  <w:style w:type="character" w:customStyle="1" w:styleId="citation-373">
    <w:name w:val="citation-373"/>
    <w:basedOn w:val="DefaultParagraphFont"/>
    <w:rsid w:val="008036FD"/>
  </w:style>
  <w:style w:type="character" w:customStyle="1" w:styleId="citation-372">
    <w:name w:val="citation-372"/>
    <w:basedOn w:val="DefaultParagraphFont"/>
    <w:rsid w:val="008036FD"/>
  </w:style>
  <w:style w:type="character" w:customStyle="1" w:styleId="citation-371">
    <w:name w:val="citation-371"/>
    <w:basedOn w:val="DefaultParagraphFont"/>
    <w:rsid w:val="008036FD"/>
  </w:style>
  <w:style w:type="character" w:customStyle="1" w:styleId="citation-370">
    <w:name w:val="citation-370"/>
    <w:basedOn w:val="DefaultParagraphFont"/>
    <w:rsid w:val="008036FD"/>
  </w:style>
  <w:style w:type="character" w:customStyle="1" w:styleId="citation-369">
    <w:name w:val="citation-369"/>
    <w:basedOn w:val="DefaultParagraphFont"/>
    <w:rsid w:val="008036FD"/>
  </w:style>
  <w:style w:type="character" w:customStyle="1" w:styleId="citation-368">
    <w:name w:val="citation-368"/>
    <w:basedOn w:val="DefaultParagraphFont"/>
    <w:rsid w:val="008036FD"/>
  </w:style>
  <w:style w:type="character" w:customStyle="1" w:styleId="citation-367">
    <w:name w:val="citation-367"/>
    <w:basedOn w:val="DefaultParagraphFont"/>
    <w:rsid w:val="008036FD"/>
  </w:style>
  <w:style w:type="character" w:customStyle="1" w:styleId="citation-366">
    <w:name w:val="citation-366"/>
    <w:basedOn w:val="DefaultParagraphFont"/>
    <w:rsid w:val="008036FD"/>
  </w:style>
  <w:style w:type="character" w:customStyle="1" w:styleId="citation-365">
    <w:name w:val="citation-365"/>
    <w:basedOn w:val="DefaultParagraphFont"/>
    <w:rsid w:val="008036FD"/>
  </w:style>
  <w:style w:type="character" w:customStyle="1" w:styleId="citation-364">
    <w:name w:val="citation-364"/>
    <w:basedOn w:val="DefaultParagraphFont"/>
    <w:rsid w:val="008036FD"/>
  </w:style>
  <w:style w:type="character" w:customStyle="1" w:styleId="citation-363">
    <w:name w:val="citation-363"/>
    <w:basedOn w:val="DefaultParagraphFont"/>
    <w:rsid w:val="008036FD"/>
  </w:style>
  <w:style w:type="character" w:customStyle="1" w:styleId="citation-362">
    <w:name w:val="citation-362"/>
    <w:basedOn w:val="DefaultParagraphFont"/>
    <w:rsid w:val="008036FD"/>
  </w:style>
  <w:style w:type="character" w:customStyle="1" w:styleId="citation-361">
    <w:name w:val="citation-361"/>
    <w:basedOn w:val="DefaultParagraphFont"/>
    <w:rsid w:val="008036FD"/>
  </w:style>
  <w:style w:type="character" w:customStyle="1" w:styleId="citation-360">
    <w:name w:val="citation-360"/>
    <w:basedOn w:val="DefaultParagraphFont"/>
    <w:rsid w:val="008036FD"/>
  </w:style>
  <w:style w:type="character" w:customStyle="1" w:styleId="citation-359">
    <w:name w:val="citation-359"/>
    <w:basedOn w:val="DefaultParagraphFont"/>
    <w:rsid w:val="008036FD"/>
  </w:style>
  <w:style w:type="character" w:customStyle="1" w:styleId="citation-358">
    <w:name w:val="citation-358"/>
    <w:basedOn w:val="DefaultParagraphFont"/>
    <w:rsid w:val="008036FD"/>
  </w:style>
  <w:style w:type="character" w:customStyle="1" w:styleId="citation-357">
    <w:name w:val="citation-357"/>
    <w:basedOn w:val="DefaultParagraphFont"/>
    <w:rsid w:val="008036FD"/>
  </w:style>
  <w:style w:type="character" w:customStyle="1" w:styleId="citation-356">
    <w:name w:val="citation-356"/>
    <w:basedOn w:val="DefaultParagraphFont"/>
    <w:rsid w:val="008036FD"/>
  </w:style>
  <w:style w:type="character" w:customStyle="1" w:styleId="citation-355">
    <w:name w:val="citation-355"/>
    <w:basedOn w:val="DefaultParagraphFont"/>
    <w:rsid w:val="008036FD"/>
  </w:style>
  <w:style w:type="character" w:customStyle="1" w:styleId="citation-354">
    <w:name w:val="citation-354"/>
    <w:basedOn w:val="DefaultParagraphFont"/>
    <w:rsid w:val="008036FD"/>
  </w:style>
  <w:style w:type="character" w:customStyle="1" w:styleId="citation-353">
    <w:name w:val="citation-353"/>
    <w:basedOn w:val="DefaultParagraphFont"/>
    <w:rsid w:val="008036FD"/>
  </w:style>
  <w:style w:type="character" w:customStyle="1" w:styleId="citation-352">
    <w:name w:val="citation-352"/>
    <w:basedOn w:val="DefaultParagraphFont"/>
    <w:rsid w:val="008036FD"/>
  </w:style>
  <w:style w:type="character" w:customStyle="1" w:styleId="ng-tns-c4101540782-104">
    <w:name w:val="ng-tns-c4101540782-104"/>
    <w:basedOn w:val="DefaultParagraphFont"/>
    <w:rsid w:val="008036FD"/>
  </w:style>
  <w:style w:type="character" w:customStyle="1" w:styleId="citation-351">
    <w:name w:val="citation-351"/>
    <w:basedOn w:val="DefaultParagraphFont"/>
    <w:rsid w:val="008036FD"/>
  </w:style>
  <w:style w:type="character" w:customStyle="1" w:styleId="citation-350">
    <w:name w:val="citation-350"/>
    <w:basedOn w:val="DefaultParagraphFont"/>
    <w:rsid w:val="008036FD"/>
  </w:style>
  <w:style w:type="character" w:customStyle="1" w:styleId="ng-tns-c4101540782-105">
    <w:name w:val="ng-tns-c4101540782-105"/>
    <w:basedOn w:val="DefaultParagraphFont"/>
    <w:rsid w:val="008036FD"/>
  </w:style>
  <w:style w:type="character" w:customStyle="1" w:styleId="citation-349">
    <w:name w:val="citation-349"/>
    <w:basedOn w:val="DefaultParagraphFont"/>
    <w:rsid w:val="008036FD"/>
  </w:style>
  <w:style w:type="character" w:customStyle="1" w:styleId="ng-tns-c4101540782-106">
    <w:name w:val="ng-tns-c4101540782-106"/>
    <w:basedOn w:val="DefaultParagraphFont"/>
    <w:rsid w:val="008036FD"/>
  </w:style>
  <w:style w:type="character" w:customStyle="1" w:styleId="citation-348">
    <w:name w:val="citation-348"/>
    <w:basedOn w:val="DefaultParagraphFont"/>
    <w:rsid w:val="008036FD"/>
  </w:style>
  <w:style w:type="character" w:customStyle="1" w:styleId="citation-347">
    <w:name w:val="citation-347"/>
    <w:basedOn w:val="DefaultParagraphFont"/>
    <w:rsid w:val="008036FD"/>
  </w:style>
  <w:style w:type="character" w:customStyle="1" w:styleId="citation-346">
    <w:name w:val="citation-346"/>
    <w:basedOn w:val="DefaultParagraphFont"/>
    <w:rsid w:val="008036FD"/>
  </w:style>
  <w:style w:type="character" w:customStyle="1" w:styleId="citation-345">
    <w:name w:val="citation-345"/>
    <w:basedOn w:val="DefaultParagraphFont"/>
    <w:rsid w:val="008036FD"/>
  </w:style>
  <w:style w:type="character" w:customStyle="1" w:styleId="citation-344">
    <w:name w:val="citation-344"/>
    <w:basedOn w:val="DefaultParagraphFont"/>
    <w:rsid w:val="008036FD"/>
  </w:style>
  <w:style w:type="character" w:customStyle="1" w:styleId="citation-343">
    <w:name w:val="citation-343"/>
    <w:basedOn w:val="DefaultParagraphFont"/>
    <w:rsid w:val="008036FD"/>
  </w:style>
  <w:style w:type="character" w:customStyle="1" w:styleId="citation-342">
    <w:name w:val="citation-342"/>
    <w:basedOn w:val="DefaultParagraphFont"/>
    <w:rsid w:val="008036FD"/>
  </w:style>
  <w:style w:type="character" w:customStyle="1" w:styleId="citation-341">
    <w:name w:val="citation-341"/>
    <w:basedOn w:val="DefaultParagraphFont"/>
    <w:rsid w:val="00803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1475</Words>
  <Characters>8414</Characters>
  <Application>Microsoft Office Word</Application>
  <DocSecurity>0</DocSecurity>
  <Lines>70</Lines>
  <Paragraphs>19</Paragraphs>
  <ScaleCrop>false</ScaleCrop>
  <Company/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fuadmm</dc:creator>
  <cp:keywords/>
  <dc:description/>
  <cp:lastModifiedBy>fuadmm</cp:lastModifiedBy>
  <cp:revision>2</cp:revision>
  <dcterms:created xsi:type="dcterms:W3CDTF">2026-07-08T18:31:00Z</dcterms:created>
  <dcterms:modified xsi:type="dcterms:W3CDTF">2026-07-08T18:31:00Z</dcterms:modified>
</cp:coreProperties>
</file>